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559"/>
        <w:gridCol w:w="389"/>
        <w:gridCol w:w="1503"/>
        <w:gridCol w:w="1503"/>
        <w:gridCol w:w="961"/>
        <w:gridCol w:w="2384"/>
        <w:gridCol w:w="1021"/>
      </w:tblGrid>
      <w:tr w:rsidR="008A05D2" w:rsidRPr="008A05D2" w:rsidTr="008A05D2">
        <w:trPr>
          <w:trHeight w:val="255"/>
        </w:trPr>
        <w:tc>
          <w:tcPr>
            <w:tcW w:w="1560"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Level</w:t>
            </w:r>
          </w:p>
        </w:tc>
        <w:tc>
          <w:tcPr>
            <w:tcW w:w="155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389"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3006"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Kabupaten Kapuas Hulu</w:t>
            </w:r>
          </w:p>
        </w:tc>
        <w:tc>
          <w:tcPr>
            <w:tcW w:w="961"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384"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02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311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Komponen</w:t>
            </w:r>
          </w:p>
        </w:tc>
        <w:tc>
          <w:tcPr>
            <w:tcW w:w="389"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3006"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 Kapasitas Pemerintah</w:t>
            </w:r>
          </w:p>
        </w:tc>
        <w:tc>
          <w:tcPr>
            <w:tcW w:w="961"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384"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02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1560"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389"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503"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503"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96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384"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02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3508"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6351"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I. Perencanaan Kehutanan dan Tata Ruang </w:t>
            </w:r>
          </w:p>
        </w:tc>
        <w:tc>
          <w:tcPr>
            <w:tcW w:w="102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45"/>
        </w:trPr>
        <w:tc>
          <w:tcPr>
            <w:tcW w:w="311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38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7372"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8A05D2" w:rsidRPr="008A05D2" w:rsidTr="008A05D2">
        <w:trPr>
          <w:trHeight w:val="315"/>
        </w:trPr>
        <w:tc>
          <w:tcPr>
            <w:tcW w:w="311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38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51"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1021"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115"/>
        <w:gridCol w:w="1295"/>
        <w:gridCol w:w="1134"/>
        <w:gridCol w:w="1728"/>
        <w:gridCol w:w="1249"/>
        <w:gridCol w:w="2268"/>
        <w:gridCol w:w="1382"/>
      </w:tblGrid>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83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BIa1</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Latar belakang Pendidikan formal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Daftar Nominatif Pegawai Negeri Sipil di Lingkungan Pemerintahan Kabupaten Kapuas Hulu untuk Unit Kerja Dinas Perkebunan dan Kehutanan. Dokumen ini hanya mencantumkan latar belakng pendidikan formal SDM seluruh pegawai di Disbunhut. S2 = 5 orang ; S1 = 29 orang ; D3 = 5 orang ; D1 = 2 orang ; SMA = 30 ; SMP = 3 orang</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Rata-rata yang bertugas di unit perencana sudah sarjana (S1) tapi tidak ada satupun yang sarjana planologi</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526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Cipta Karya dan Tata Ruang</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Tidak ada dokumen yang terkait ltar belakang pendidikan SDM yang bertugas dalam unit perencana. Hal ini disebabkan Instansi ini baru dbentuk, dan pendataan staf nya yang masih dalam proses penyempurnaan. Yang ada hanya catatan di secarik kertas yang ditempel di sisi lemari yang isinya tingkat pendidikan pegawai di dinas ini, itupun tidak spesifik ke unit perencanaan, tapi secara </w:t>
            </w:r>
            <w:r w:rsidRPr="008A05D2">
              <w:rPr>
                <w:rFonts w:ascii="Times New Roman" w:eastAsia="Times New Roman" w:hAnsi="Times New Roman" w:cs="Times New Roman"/>
                <w:color w:val="000000"/>
                <w:sz w:val="20"/>
                <w:szCs w:val="20"/>
                <w:lang w:eastAsia="id-ID"/>
              </w:rPr>
              <w:lastRenderedPageBreak/>
              <w:t>keseluruhan bidang. : S2 = 3 orang ; S1 = 19 ; D3 = 13 ; SMA = 25 ; SMP = 2. Yang pasti, Kasi Perencanaan dan Pemanfaatan Tata Ruang serta Kasi Perencanaan dan Pengendalian masing-masing berlatar belakang pendidikan S1</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Untuk Kasi, pendidikannya sudah S2, staf rata-rata sudah S1 dan D3, yang berpendidikan SMA hanya 1-2 orang. Untuk ukuran jumlah staf, masih terasa kurang.</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55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menyebutkan latar belakang pendidikan formal SDM yang bertugas dalam unit Perencana. Yang ada hanya dokumen daftar nama pegawai dan jabatan saja. Sedangkan di daftar itu, hanya mencantumkan gelar pendidikan formalnya saja. (1 Orang S2 dan 1 orang S1)</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Dari segi kapasitas personil yang ada, dianggap sudah cukup, sebab staf nya merupakan lulusan sarjana planologi. Dari segi jumlah dianggap sangat kurang, sebab subbid tata ruang wilayah hanya ada 2 orang, 1 orang kasubbid (S2)dan 1 orang staf (S1).</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3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BIa2</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Lama waktu kerja sebagai perencana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Rata-rata sudah punya pengalaman selama 3-4 tahun tapi secara keahlian, masih saja belum bisa diandalkan.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153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PU</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Rata-rata masa kerja diatas 1 tahun. Dinas ini baru terbentuk pada April 2009.  Sejak April 2009 hingga sekarang, baru 2 (dua) kali pergantian Kasi dan Kabid, dan itu baru saja terjadi beberapa bulan yang lalu. Untuk belum pernah ada perubahan.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53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Untuk staf subbid tata ruang wilayah sudah bertugas selama 2 tahun. Sedangkan Kasubbid nya baru 3 bulan menduduki jabatannya. Sebelumnya Kasubbid Tata Ruang Wilayah bertugas di Bina Marga Dinas Pekerjaan Umum.</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BIa3</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Sertifikat perencanaan wilayah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wilayah,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satupun yang memiliki sertifikat perencanaan wilayah.</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7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PU</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wilayah,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Kabid, Kasi, hingga staf belum ada yang memiliki sertifikat perencanaan wilayah.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7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wilayah,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Untuk sertifikasi khusus belum ada yang pernah memiliki, tapi sekedar bimbingan teknis tentang tata ruang, sering diikuti oleh Kasubbid.</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630"/>
        </w:trPr>
        <w:tc>
          <w:tcPr>
            <w:tcW w:w="3124"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Kepala SKPD, dan Kepala Bagian Perencanaan</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8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BIb1</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Latar belakang Pendidikan formal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Daftar Nominatif Pegawai Negeri Sipil di Lingkungan Pemerintahan Kabupaten Kapuas Hulu untuk Unit Kerja Dinas Perkebunan dan Kehutanan. Dokumen ini hanya mencantumkan latar belakng pendidikan formal SDM seluruh </w:t>
            </w:r>
            <w:r w:rsidRPr="008A05D2">
              <w:rPr>
                <w:rFonts w:ascii="Times New Roman" w:eastAsia="Times New Roman" w:hAnsi="Times New Roman" w:cs="Times New Roman"/>
                <w:color w:val="000000"/>
                <w:sz w:val="20"/>
                <w:szCs w:val="20"/>
                <w:lang w:eastAsia="id-ID"/>
              </w:rPr>
              <w:lastRenderedPageBreak/>
              <w:t>pegawai di Disbunhut. S2 = 5 orang ; S1 = 29 orang ; D3 = 5 orang ; D1 = 2 orang ; SMA = 30 ; SMP = 3 orang</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Rata-rata sudah sarjana. Beberapa orang ada yang sarjana kehutanan, tapi tidak semua yang memiliki </w:t>
            </w:r>
            <w:r w:rsidRPr="008A05D2">
              <w:rPr>
                <w:rFonts w:ascii="Times New Roman" w:eastAsia="Times New Roman" w:hAnsi="Times New Roman" w:cs="Times New Roman"/>
                <w:i/>
                <w:iCs/>
                <w:color w:val="000000"/>
                <w:sz w:val="20"/>
                <w:szCs w:val="20"/>
                <w:lang w:eastAsia="id-ID"/>
              </w:rPr>
              <w:t>mindset</w:t>
            </w:r>
            <w:r w:rsidRPr="008A05D2">
              <w:rPr>
                <w:rFonts w:ascii="Times New Roman" w:eastAsia="Times New Roman" w:hAnsi="Times New Roman" w:cs="Times New Roman"/>
                <w:color w:val="000000"/>
                <w:sz w:val="20"/>
                <w:szCs w:val="20"/>
                <w:lang w:eastAsia="id-ID"/>
              </w:rPr>
              <w:t xml:space="preserve"> sebagai petugas perencana.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516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Cipta Karya Dan Tata Ruang</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terkait ltar belakang pendidikan SDM yang bertugas dalam unit perencana. Hal ini disebabkan Instansi ini baru dbentuk, dan pendataan staf nya yang masih dalam proses penyempurnaan. Yang ada hanya catatan di secarik kertas yang ditempel di sisi lemari yang isinya tingkat pendidikan pegawai di dinas ini, itupun tidak spesifik ke unit perencanaan, tapi secara keseluruhan bidang. : S2 = 3 orang ; S1 = 19 ; D3 = 13 ; SMA = 25 ; SMP = 2. Yang pasti, Kasi Perencanaan dan Pemanfaatan Tata Ruang serta Kasi Perencanaan dan Pengendalian masing-masing berlatar belakang pendidikan S1</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Sama seperti jawaban yang pertama pada wawancara, jika dilihat dari pendidikan formal, SDM kami cukup memadai, sudah ada yang S2, sebagian besar S1 dan D3, Cuma 1-2 orang saja yang SMA.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55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menyebutkan latar belakang pendidikan formal SDM yang bertugas dalam unit Perencana. Yang ada hanya dokumen daftar nama pegawai dan jabatan saja. Sedangkan di daftar itu, hanya mencantumkan gelar pendidikan formalnya saja. (1 Orang S2 dan 1 orang S1)</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yang memiliki latar belakang pendidikan terkait status dan fungsi kawasan hutan. Di Subbid Tata Ruang Wilayah hanya ada sarjaan Teknis Sipil dan sarjana Planologi. Untuk perencanaan status dan fungsi kawasan hutan, biasanya meminta masukan dari Dinas Perkebunan dan Kehutanan.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9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BIb2</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Lama waktu kerja sebagai perencana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Rata-rata sydah memiliki pengalaman kerja diatas 3 tahun, tetapi lamanya waktu tidak bisa menggambarkan keahlian para staf.</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27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PU</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Kembali sama dengan jawaban diatas, masa kerja rata-rata diatas 1 tahun, sejak 2009 dinas ini dibentuk, baru 2 kali pergantian Kasi dan Kabid, dan itu terjadi beberapa buan yang lalu. Untuk staf belum pernah ada rotasi.</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51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lamanya waktu kerja sebagai perencana dari SDM yang bertugas dalam unit Perencana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staf khusus yang mengurusi mengenai perencanaan kehutanan, sebab selama ini mengenai perencanaan kehutanan, BAPPEDA selalu meminta masukan dari Dinas Perkebunan dan Kehutanan.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BIb3</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Sertifikat perencanaan wilayah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kehutanan,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satupun staf yang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65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PU</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kehutanan,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Seluruh staf tidak ada yang memiliki sertifikat perencanaan hutan. Bahkan, karena dinas ini baru dibentuk, kita belum mengatur mengenai tata ruang kehutanan. Selama ini kami hanya menerima perencanaan kawasan hutan dari Bappeda.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7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Bappeda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sertifikat perencanaan kehutanan, karena memang belum ada SDM yang pernah mengikuti sertifikasi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Belum ada yang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3124"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8A05D2" w:rsidRPr="008A05D2" w:rsidTr="008A05D2">
        <w:trPr>
          <w:trHeight w:val="69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Usulan kegiatan dan DIPA pada tahun yang sama tiga tahun kebelakang,</w:t>
            </w:r>
            <w:r w:rsidRPr="008A05D2">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BIc1</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295" w:type="dxa"/>
            <w:vMerge w:val="restart"/>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menyangkut Jumlah dana yang dialokasi-kan dalam DIPA untuk menyu-sun proses perencanaan tata ruang yang partisipatif. , karena Disbunhut memang tidak mendapatkan DIPA untuk kegiatan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dana  untuk menyusun proses perencanaan tata ruang yang partisipatif di DIPA. Untuk aktifitas perencanaan tata ruang yang partisipatif, masuknya ke dalam DIPA BAPPEDA.</w:t>
            </w:r>
          </w:p>
        </w:tc>
        <w:tc>
          <w:tcPr>
            <w:tcW w:w="1382" w:type="dxa"/>
            <w:tcBorders>
              <w:top w:val="nil"/>
              <w:left w:val="nil"/>
              <w:bottom w:val="single" w:sz="4" w:space="0" w:color="auto"/>
              <w:right w:val="single" w:sz="4" w:space="0" w:color="auto"/>
            </w:tcBorders>
            <w:shd w:val="clear" w:color="000000" w:fill="000000"/>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80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Dinas Pertanian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menyangkut Jumlah dana yang dialokasi-kan dalam DIPA untuk menyu-sun proses perencanaan tata ruang yang partisipatif.  Yang ada hanya dokumen DIPA penyusunan data penggunaan lahan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nil"/>
              <w:right w:val="nil"/>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Belum ada alokasi dana dalam DIPA yang khusus mengenai perencanaan tata ruang. Namun Dinas Pertanian Tanaman Pangan dan Peternakan Kapuas Hulu memiliki DPA Perubahan tahun 2011 mengenai kegiatan Land Use sebesar Rp.86.067.500,- untuk 3 (tiga) kecamatan, yaitu: </w:t>
            </w:r>
            <w:r w:rsidRPr="008A05D2">
              <w:rPr>
                <w:rFonts w:ascii="Times New Roman" w:eastAsia="Times New Roman" w:hAnsi="Times New Roman" w:cs="Times New Roman"/>
                <w:color w:val="000000"/>
                <w:sz w:val="20"/>
                <w:szCs w:val="20"/>
                <w:lang w:eastAsia="id-ID"/>
              </w:rPr>
              <w:br/>
              <w:t>- Kecamatan Hulu Gurung</w:t>
            </w:r>
            <w:r w:rsidRPr="008A05D2">
              <w:rPr>
                <w:rFonts w:ascii="Times New Roman" w:eastAsia="Times New Roman" w:hAnsi="Times New Roman" w:cs="Times New Roman"/>
                <w:color w:val="000000"/>
                <w:sz w:val="20"/>
                <w:szCs w:val="20"/>
                <w:lang w:eastAsia="id-ID"/>
              </w:rPr>
              <w:br/>
              <w:t>- Kecamatan Jongkong</w:t>
            </w:r>
            <w:r w:rsidRPr="008A05D2">
              <w:rPr>
                <w:rFonts w:ascii="Times New Roman" w:eastAsia="Times New Roman" w:hAnsi="Times New Roman" w:cs="Times New Roman"/>
                <w:color w:val="000000"/>
                <w:sz w:val="20"/>
                <w:szCs w:val="20"/>
                <w:lang w:eastAsia="id-ID"/>
              </w:rPr>
              <w:br/>
              <w:t>- Kecamatan Pengkadan</w:t>
            </w:r>
          </w:p>
        </w:tc>
        <w:tc>
          <w:tcPr>
            <w:tcW w:w="1382" w:type="dxa"/>
            <w:tcBorders>
              <w:top w:val="nil"/>
              <w:left w:val="single" w:sz="4" w:space="0" w:color="auto"/>
              <w:bottom w:val="single" w:sz="4" w:space="0" w:color="auto"/>
              <w:right w:val="single" w:sz="4" w:space="0" w:color="auto"/>
            </w:tcBorders>
            <w:shd w:val="clear" w:color="000000" w:fill="000000"/>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275"/>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BPN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BPN menolak memberikan data terkait dana yang dialokasikan dalam DIPA untuk menyusun proses perencanaan tata ruang yang partisipatif</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single" w:sz="4" w:space="0" w:color="auto"/>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BPN menolak memberikan data terkait dana yang dialokasikan dalam DIPA untuk menyusun proses perencanaan tata ruang yang partisipatif</w:t>
            </w:r>
          </w:p>
        </w:tc>
        <w:tc>
          <w:tcPr>
            <w:tcW w:w="1382" w:type="dxa"/>
            <w:tcBorders>
              <w:top w:val="nil"/>
              <w:left w:val="nil"/>
              <w:bottom w:val="single" w:sz="4" w:space="0" w:color="auto"/>
              <w:right w:val="single" w:sz="4" w:space="0" w:color="auto"/>
            </w:tcBorders>
            <w:shd w:val="clear" w:color="000000" w:fill="000000"/>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1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8A05D2" w:rsidRPr="008A05D2" w:rsidTr="008A05D2">
        <w:trPr>
          <w:trHeight w:val="67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BId1</w:t>
            </w:r>
          </w:p>
        </w:tc>
        <w:tc>
          <w:tcPr>
            <w:tcW w:w="1115"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Pembagian tugas</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Hingga saat ini masih belum ada SOP mengenai penyelesaian konflik perencanaan kawasan hutan.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BId2</w:t>
            </w:r>
          </w:p>
        </w:tc>
        <w:tc>
          <w:tcPr>
            <w:tcW w:w="1115"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Struktur Organisasi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struktur organisasi khusus yang menangani masalah konflik perencanaan kawasan hutan.</w:t>
            </w:r>
            <w:r w:rsidRPr="008A05D2">
              <w:rPr>
                <w:rFonts w:ascii="Times New Roman" w:eastAsia="Times New Roman" w:hAnsi="Times New Roman" w:cs="Times New Roman"/>
                <w:color w:val="000000"/>
                <w:sz w:val="20"/>
                <w:szCs w:val="20"/>
                <w:lang w:eastAsia="id-ID"/>
              </w:rPr>
              <w:br/>
              <w:t>Namun jika terjadi konflik, maka yang menyelesaikan adalah bidang yang bersangkutan di Disbunhut Kapuas Hulu.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Tahapan pelaksanaan penyelesaian konflik</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Tahapan yang biasa dilakukan jika terjadi konflik perencanaan kawasan (Tidak ada SOPnya):</w:t>
            </w:r>
            <w:r w:rsidRPr="008A05D2">
              <w:rPr>
                <w:rFonts w:ascii="Times New Roman" w:eastAsia="Times New Roman" w:hAnsi="Times New Roman" w:cs="Times New Roman"/>
                <w:color w:val="000000"/>
                <w:sz w:val="20"/>
                <w:szCs w:val="20"/>
                <w:lang w:eastAsia="id-ID"/>
              </w:rPr>
              <w:br/>
              <w:t>- Koordinasi dengan BPKH</w:t>
            </w:r>
            <w:r w:rsidRPr="008A05D2">
              <w:rPr>
                <w:rFonts w:ascii="Times New Roman" w:eastAsia="Times New Roman" w:hAnsi="Times New Roman" w:cs="Times New Roman"/>
                <w:color w:val="000000"/>
                <w:sz w:val="20"/>
                <w:szCs w:val="20"/>
                <w:lang w:eastAsia="id-ID"/>
              </w:rPr>
              <w:br/>
              <w:t>- Melakukan verifikasi tata batas</w:t>
            </w:r>
            <w:r w:rsidRPr="008A05D2">
              <w:rPr>
                <w:rFonts w:ascii="Times New Roman" w:eastAsia="Times New Roman" w:hAnsi="Times New Roman" w:cs="Times New Roman"/>
                <w:color w:val="000000"/>
                <w:sz w:val="20"/>
                <w:szCs w:val="20"/>
                <w:lang w:eastAsia="id-ID"/>
              </w:rPr>
              <w:br/>
              <w:t>Untuk petunjuk teknis penyelesaian konflik perencanaan kawasan, ada di BPKH</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63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BId4</w:t>
            </w:r>
          </w:p>
        </w:tc>
        <w:tc>
          <w:tcPr>
            <w:tcW w:w="1115"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Keterlibatan masyarakat</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SOP penyelesaian konflik perencanaan kawasan. Namun jika ada konflik tersebut, maka pihak yang dilibatkan untuk penyelesaian biasanya adalah tokoh masyarakat dan aparatur desa/camat untuk menjadi panitia tata batas.</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BId5</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Mekanisme pengambilan keputusan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Mekanisme pengambilan keputusan biasanya melalui rapat.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BId6</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Tata waktu penyelesaian konflik</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tata waktu penyelesaian konflik. Hal ini dikarenakan tidak ada SOP penyelesaian konflik, dan semua konflik terkait perencanaan kawasan muaranya ada di pusat dan hanya bisa diselesaikan dipusat.</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BId7</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Mekanisme penyampaian informasi proses dan hasil penyelesaian konflik</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SOP penyelesaian konflik di Dinas Perkebunan dan Kehutanan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Setelah konflik terselesaikan, solusi atau hasil kesepakatan dibagiakn ke seluruh pihak yang berkepentingan. Namun untuk maslaah pengarsipan masih menjadi kendala di Disbunhut Kabupaten Kapuas Hulu.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5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8A05D2" w:rsidRPr="008A05D2" w:rsidTr="008A05D2">
        <w:trPr>
          <w:trHeight w:val="60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lastRenderedPageBreak/>
              <w:t>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8A05D2" w:rsidRPr="008A05D2" w:rsidTr="008A05D2">
        <w:trPr>
          <w:trHeight w:val="638"/>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436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BIe1</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w:t>
            </w:r>
          </w:p>
        </w:tc>
        <w:tc>
          <w:tcPr>
            <w:tcW w:w="129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DPRD</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menunjukkan jumlah legislator yang memperjuangkan perencanaan wilayah berbasis kelestarian hutan dan berkeadilan bagi masyarakat</w:t>
            </w:r>
          </w:p>
        </w:tc>
        <w:tc>
          <w:tcPr>
            <w:tcW w:w="1249"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beberapa orang anggota legislatif yang komitmen memperjuangkan perencanaan wilayah berbasis kelestarian hutan dan berkeadilan bagi masyarakat, antara lain :Bacok Maywa, Imam Sabirin, Anton Pamero, Manyu, Gupung. Pembahasan RTRW sudah telat 1 tahun. hal ini dikarenakan menunggu RTRW propinsi selesai dibahas namun hingga saat ini, RTRW propinsi masih juga belum selesai. Namun ada surat edaran dari kementrian yang menyatakan tidak masalah jika RTRW kabupaten dibahas terlebih dahulu. Dokumen RPJMD yang semestinya dibahas setelah RTRW ada, menjadi terbalik. Dokumen RPJMD telah selesai dibahas, namun RTRW belum juga selesai.</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710"/>
        </w:trPr>
        <w:tc>
          <w:tcPr>
            <w:tcW w:w="714"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menunjukkan jumlah legislator yang memperjuangkan perencanaan wilayah berbasis kelestarian hutan dan berkeadilan bagi masyarakat</w:t>
            </w:r>
          </w:p>
        </w:tc>
        <w:tc>
          <w:tcPr>
            <w:tcW w:w="1249"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Hanya 1 orang anggota legislatif di DPR Kabupaten Kapuas Hulu yang aktif memperjuangkan perencanaan wilayah berbasis kelestarian hutan dan berkeadilan bagi masyarakat, yaitu pak Bacok Maywa dari Partai Keadilan Sejahtera.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1680"/>
        </w:trPr>
        <w:tc>
          <w:tcPr>
            <w:tcW w:w="714"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PU</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menunjukkan jumlah legislator yang memperjuangkan perencanaan wilayah berbasis kelestarian hutan dan berkeadilan bagi masyarakat</w:t>
            </w:r>
          </w:p>
        </w:tc>
        <w:tc>
          <w:tcPr>
            <w:tcW w:w="1249"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Karena tidak terlibat di perencanaan wilayah, apalagi yang berkaitan dengan hutan, informan  tidak mengetahui siapa saja anggota legislatif yang memperjuangkan perencanaan wilayah berbasis kelestarian hutan dan berkeadilan bagi masyarakat.</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295"/>
        </w:trPr>
        <w:tc>
          <w:tcPr>
            <w:tcW w:w="714"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LSM</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menunjukkan jumlah legislator yang memperjuangkan perencanaan wilayah berbasis kelestarian hutan dan berkeadilan bagi masyarakat</w:t>
            </w:r>
          </w:p>
        </w:tc>
        <w:tc>
          <w:tcPr>
            <w:tcW w:w="1249"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Hanya sekitar 3 orang yang vokal menyoroti tentang lingkungan, yaitu:</w:t>
            </w:r>
            <w:r w:rsidRPr="008A05D2">
              <w:rPr>
                <w:rFonts w:ascii="Times New Roman" w:eastAsia="Times New Roman" w:hAnsi="Times New Roman" w:cs="Times New Roman"/>
                <w:color w:val="000000"/>
                <w:sz w:val="20"/>
                <w:szCs w:val="20"/>
                <w:lang w:eastAsia="id-ID"/>
              </w:rPr>
              <w:br/>
              <w:t>- Anton Pamero</w:t>
            </w:r>
            <w:r w:rsidRPr="008A05D2">
              <w:rPr>
                <w:rFonts w:ascii="Times New Roman" w:eastAsia="Times New Roman" w:hAnsi="Times New Roman" w:cs="Times New Roman"/>
                <w:color w:val="000000"/>
                <w:sz w:val="20"/>
                <w:szCs w:val="20"/>
                <w:lang w:eastAsia="id-ID"/>
              </w:rPr>
              <w:br/>
              <w:t>- Manyu</w:t>
            </w:r>
            <w:r w:rsidRPr="008A05D2">
              <w:rPr>
                <w:rFonts w:ascii="Times New Roman" w:eastAsia="Times New Roman" w:hAnsi="Times New Roman" w:cs="Times New Roman"/>
                <w:color w:val="000000"/>
                <w:sz w:val="20"/>
                <w:szCs w:val="20"/>
                <w:lang w:eastAsia="id-ID"/>
              </w:rPr>
              <w:br/>
              <w:t>- Philipus Pian</w:t>
            </w:r>
            <w:r w:rsidRPr="008A05D2">
              <w:rPr>
                <w:rFonts w:ascii="Times New Roman" w:eastAsia="Times New Roman" w:hAnsi="Times New Roman" w:cs="Times New Roman"/>
                <w:color w:val="000000"/>
                <w:sz w:val="20"/>
                <w:szCs w:val="20"/>
                <w:lang w:eastAsia="id-ID"/>
              </w:rPr>
              <w:br/>
              <w:t>Mereka cenderung anti dengan ekspansi perkebunan sawit dan selalu mengangkat hak-hak masyarakat adat.</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1665"/>
        </w:trPr>
        <w:tc>
          <w:tcPr>
            <w:tcW w:w="714"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Jurnalis</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menunjukkan jumlah legislator yang memperjuangkan perencanaan wilayah berbasis kelestarian hutan dan berkeadilan bagi masyarakat</w:t>
            </w:r>
          </w:p>
        </w:tc>
        <w:tc>
          <w:tcPr>
            <w:tcW w:w="1249" w:type="dxa"/>
            <w:tcBorders>
              <w:top w:val="nil"/>
              <w:left w:val="nil"/>
              <w:bottom w:val="single" w:sz="4" w:space="0" w:color="auto"/>
              <w:right w:val="single" w:sz="4" w:space="0" w:color="auto"/>
            </w:tcBorders>
            <w:shd w:val="clear" w:color="000000" w:fill="000000"/>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Paling tidak ada 3 orang anggota DPRD Kabuaten Kapuas Hulu yang aktif memperjuangkan perencanaan wilayah berbasis kelestarian hutan dan berkeadilan bagi masyarakat yaitu :Pak Bacok Maywa, Pak Gupung, Ibu Maurah (kurang vokal)</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II. Pengaturan Hak  </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70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8A05D2" w:rsidRPr="008A05D2" w:rsidTr="008A05D2">
        <w:trPr>
          <w:trHeight w:val="43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35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BIIa1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Kondisi realisasi rencana kebutuhan SDM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mengenai rencana kebutuhan SDM. Dokumen pengajuan yang pernah diberikan Disbunhut ke BKD, tidak berhasil ditemukan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Sama sekali belum terpenuhi, belum sampai 25% dari kebutuhan pegawai yang diharapkan. Hal ini disebabkan anggaran yang minim (tidak ada slot anggaran untuk menggaji karyawan baru).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57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BIIa2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Memiliki pendidikan S1 di bidang terkait dengan kehutanan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Daftar Nominatif Pegawai Negeri Sipil di Lingkungan Pemerintahan Kabupaten Kapuas Hulu untuk Unit Kerja Dinas Perkebunan dan Kehutanan. Dokumen ini hanya mencantumkan latar belakng pendidikan formal SDM seluruh pegawai di Disbunhut. S2 = 5 orang ; S1 = 29 orang ; D3 = 5 orang ; D1 = 2 orang ; SMA = 30 ; SMP = 3 orang. Namun Kabid Pengelolaan Pengelolaan Hutan sudah S2 Konservasi Hutan dan Kabid Rehabilitasi &amp; Perhutanan Sosial S1 Kehutanan dan S2 nya Lingkungan. Kasi Invebtarisasi Sumber Daya &amp; Penataan Hutan sudah S1 Manajemen Hutan. Kasi Perhutanan Sosial masih SMA. Kasi Bina Produksi dan Usaha Kehutanan sudah S1 Manajemen Hutan.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yang berlatar belakang sarjana kehutanan, tapi keahlian juga masih dianggap kurang memadai.</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BIIa3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w:t>
            </w:r>
            <w:r w:rsidRPr="008A05D2">
              <w:rPr>
                <w:rFonts w:ascii="Times New Roman" w:eastAsia="Times New Roman" w:hAnsi="Times New Roman" w:cs="Times New Roman"/>
                <w:color w:val="000000"/>
                <w:sz w:val="20"/>
                <w:szCs w:val="20"/>
                <w:lang w:eastAsia="id-ID"/>
              </w:rPr>
              <w:lastRenderedPageBreak/>
              <w:t>hak masyarakat dan bisnis  selama 3 tahun?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menjelaskan lamanya SDM bertugas di Unit yang mengadministrasikan hak masyarakat dan bisnis</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SDM yang bertugas untuk mengadministrasikan hak masyarakat dan bisnis masih kurang memadai pengalamannya.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BIIa4</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bisa membuktikan ada SDM yang pernah mengikuti pelatihan terkait pengadinistrasian hak-hak masyarakat dan bisnis. Hal ini dikarenakan memang belum ada yang pernah mengikuti pelatihan seperti itu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Pernah ada pelatihan-pelatihan yang diselenggarakan oleh kalangan LSM dan diikuti oleh staf di dinas perkebunan dan kehutanan, tapi masih minim.</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73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8A05D2" w:rsidRPr="008A05D2" w:rsidTr="008A05D2">
        <w:trPr>
          <w:trHeight w:val="61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BIIb1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w:t>
            </w:r>
            <w:r w:rsidRPr="008A05D2">
              <w:rPr>
                <w:rFonts w:ascii="Times New Roman" w:eastAsia="Times New Roman" w:hAnsi="Times New Roman" w:cs="Times New Roman"/>
                <w:color w:val="000000"/>
                <w:sz w:val="20"/>
                <w:szCs w:val="20"/>
                <w:lang w:eastAsia="id-ID"/>
              </w:rPr>
              <w:lastRenderedPageBreak/>
              <w:t>an/SKPD</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Bagaimana jumlah dana untuk komponen pengadministrasian hak masyarakat dan bisnis dialoka-sikan dalam DIPA?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terkait dana yang dialokasikan dalam DIPA untuk mengadministrasikan hak masyarakat dan bisnis</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dana untuk komponen pengadministrasian hak masyarakat dan bisnis yang dialikasikan dalam DIPA.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64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8A05D2" w:rsidRPr="008A05D2" w:rsidTr="008A05D2">
        <w:trPr>
          <w:trHeight w:val="45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32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BIIc1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Komponen Mekanisme-1: Pembagian tugas &amp; tanggung jawab setiap pihak</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Peraturan Bupati Kapuas Hulu No. 4 Tahun 2012 Tentang Perubahan atas Peraturan Bupati Kapuas Hulu No. 34 Tahun 2008 tentang SOTK Dinas Perkebunan dan Kehutanan Kabupaten Kapuas Hulu (BAB III. Susunan Organisasi - BAB IV. Tata Kerja)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4</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Pembagian tugas dan tanggung jawab setiap pihak dalam mekanisme kerjasama antar unit tidak memadai. Masih ada bidang yang terbebani banyak pekerjaan dan ada bidang yang lebih santai.</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05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BIIc2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Komponen Mekanisme-2: Tahapan pelaksanaan kerjasama</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Peraturan Bupati Kapuas Hulu No. 4 Tahun 2012 Tentang Perubahan atas Peraturan Bupati Kapuas Hulu No. 34 Tahun 2008 tentang SOTK Dinas Perkebunan dan Kehutanan Kabupaten Kapuas Hulu (BAB IV. Tata Kerja)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Informan (Indra Kumara) tidak memberikan komentar jawaban (hanya mengatakan "no comment").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12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BIIc3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Komponen Mekanisme-3: Mekanisme pengambilan keputusan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Mekanisme pengambilan keputus-an dalam kerjasama antara unit?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terkait dengan mekanisme pengambilan keputusan dalam kerjasama antar unit di Disbunhut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Informan (Indra Kumara) tidak memberikan komentar jawaban (hanya mengatakan "no comment").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BIIc4</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Komponen Mekanisme-4: </w:t>
            </w:r>
            <w:r w:rsidRPr="008A05D2">
              <w:rPr>
                <w:rFonts w:ascii="Times New Roman" w:eastAsia="Times New Roman" w:hAnsi="Times New Roman" w:cs="Times New Roman"/>
                <w:color w:val="000000"/>
                <w:sz w:val="20"/>
                <w:szCs w:val="20"/>
                <w:lang w:eastAsia="id-ID"/>
              </w:rPr>
              <w:br/>
              <w:t>Tata waktu pelaksanaa</w:t>
            </w:r>
            <w:r w:rsidRPr="008A05D2">
              <w:rPr>
                <w:rFonts w:ascii="Times New Roman" w:eastAsia="Times New Roman" w:hAnsi="Times New Roman" w:cs="Times New Roman"/>
                <w:color w:val="000000"/>
                <w:sz w:val="20"/>
                <w:szCs w:val="20"/>
                <w:lang w:eastAsia="id-ID"/>
              </w:rPr>
              <w:lastRenderedPageBreak/>
              <w:t>n kerjasama</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 xml:space="preserve">Tata waktu pelaksanaan kerjasama dalam mekanisme </w:t>
            </w:r>
            <w:r w:rsidRPr="008A05D2">
              <w:rPr>
                <w:rFonts w:ascii="Times New Roman" w:eastAsia="Times New Roman" w:hAnsi="Times New Roman" w:cs="Times New Roman"/>
                <w:color w:val="000000"/>
                <w:sz w:val="20"/>
                <w:szCs w:val="20"/>
                <w:lang w:eastAsia="id-ID"/>
              </w:rPr>
              <w:lastRenderedPageBreak/>
              <w:t>kerjasama antara unit?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Tidak ada dokumen yang terkait dengan tata waktu pelaksanaan </w:t>
            </w:r>
            <w:r w:rsidRPr="008A05D2">
              <w:rPr>
                <w:rFonts w:ascii="Times New Roman" w:eastAsia="Times New Roman" w:hAnsi="Times New Roman" w:cs="Times New Roman"/>
                <w:color w:val="000000"/>
                <w:sz w:val="20"/>
                <w:szCs w:val="20"/>
                <w:lang w:eastAsia="id-ID"/>
              </w:rPr>
              <w:lastRenderedPageBreak/>
              <w:t>kerjasama antar unit di Disbunhut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Informan (Indra Kumara) tidak memberikan komentar jawaban (hanya mengatakan "no comment").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0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BIIc5</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Komponen Mekanisme-5: Mekanisme pelaporan hasil pelaksanaan kerjasama</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Mekanisme pelaporan hasil pelak-sanaan kerjasama dalam kerjasa-ma antara unit?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terkait dengan mekanisme pelaporan hasil pelaksanaan kerjasama antar unit di Disbunhut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Informan (Indra Kumara) tidak memberikan komentar jawaban (hanya mengatakan "no comment").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45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8A05D2" w:rsidRPr="008A05D2" w:rsidTr="008A05D2">
        <w:trPr>
          <w:trHeight w:val="33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BIId1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Kondisi realisasi rencana kebutuhan SDM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rencana kebutuhan SDM di Disbunhut. Dokumen kebutuhan SDM yang pernah diajukan ke BKD, tidak ditemukan arsipnya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Sama sekali belum terpenuhi baik dari segi jumlah maupun dari segi kemampuan staf dalam menjalankan tupoksinya.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BIId2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Memiliki pendidikan S1 di bidang terkait dengan kehutanan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Tidak ada dokumen yang bisa menjelaskan latar belakang pendidikan formal SDM yang bertugas menangani konflik hak atas hutan. Sebab, di Disbunhut, tidak ada SDM yang khusus menangani konflik hak atas hutan. </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staf yang berlatar belakang sarjana kehutanan, namun untuk menangani konflik hak atas hutan masih kurang memadai.</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BIId3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Memilki sertifikat sebagai mediator dalam penanganan</w:t>
            </w:r>
            <w:r w:rsidRPr="008A05D2">
              <w:rPr>
                <w:rFonts w:ascii="Times New Roman" w:eastAsia="Times New Roman" w:hAnsi="Times New Roman" w:cs="Times New Roman"/>
                <w:color w:val="000000"/>
                <w:sz w:val="20"/>
                <w:szCs w:val="20"/>
                <w:lang w:eastAsia="id-ID"/>
              </w:rPr>
              <w:br/>
              <w:t>konflik hak atas hutan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SDM  yang bertugas pada Unit yang menangani konflik hak atas hutan memilki sertifikat sebagai mediator di bidang </w:t>
            </w:r>
            <w:r w:rsidRPr="008A05D2">
              <w:rPr>
                <w:rFonts w:ascii="Times New Roman" w:eastAsia="Times New Roman" w:hAnsi="Times New Roman" w:cs="Times New Roman"/>
                <w:color w:val="000000"/>
                <w:sz w:val="20"/>
                <w:szCs w:val="20"/>
                <w:lang w:eastAsia="id-ID"/>
              </w:rPr>
              <w:lastRenderedPageBreak/>
              <w:t>konflik hak atas hutan?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Tidak ada dokumen yang bisa menunjukkan bukti sertifikat sebagai mediator di bidang konflik hak atas hutan pada SDM di Disbunhut. Sebab, di Disbunhut, tidak ada SDM yang khusus menangani konflik </w:t>
            </w:r>
            <w:r w:rsidRPr="008A05D2">
              <w:rPr>
                <w:rFonts w:ascii="Times New Roman" w:eastAsia="Times New Roman" w:hAnsi="Times New Roman" w:cs="Times New Roman"/>
                <w:color w:val="000000"/>
                <w:sz w:val="20"/>
                <w:szCs w:val="20"/>
                <w:lang w:eastAsia="id-ID"/>
              </w:rPr>
              <w:lastRenderedPageBreak/>
              <w:t xml:space="preserve">hak atas hutan. </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staf yang memiliki sertifikat sebagi mediator dalam penanganan konflik hak atas hutan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BIId4</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mengenai pengalaman SDM sebagai mediator konflik, sebab tidak ada SDM yang bertugas untuk menangani konflik hak atas hutan di Disbunhut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Staf di dinas perkebunan dan kehutanan Kabupaten Kapuas Hulu masih belum ada yang memiliki pengalaman sebagai mediator konflik hak atas hutan. Hal ini disebabkan hak kelola selalu diputuskan dari pusat. Dan penyelesaian konflik biasanya hanya di tingkat desa atau kecamatan.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0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63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BIIe1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terkait jumlah dana yang dialokasikan dalam DIPA untuk menyelesaikan konflik di Disbunhut, sebab Disbunhut Kapuas Hulu tidak memiliki unit penyelesaian konflik hak atas hutan. Wewenang itu dipegang oleh BPKH yang yang ada di Propinsi</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dana DIPA  yang disiapkan untuk menyelesaikan konflik. Namun untuk mengantisipasi konflik kawasan, Dinas Perkebunan dan Kehutanan Kabupaten Kapuas Hulu sedang menyelesaikan tata batas hingga akhir 2013 dan akan mulai melakukan enclave pada tahun 2014.</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III. Pengorganisasian Hutan </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4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8A05D2" w:rsidRPr="008A05D2" w:rsidTr="008A05D2">
        <w:trPr>
          <w:trHeight w:val="36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 Kepala TN, BKSDA, KPH Provinsi/Kabupaten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BIIIa1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KPH di Kabupaten Kapuas Hulu</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BIIIa2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Memiliki pendidikan S1 di bidang kehutanan atau terkait</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139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BIIIa3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Pernah mendapatkan pelatihan menjadi fasilitator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189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BIIIa4</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5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lastRenderedPageBreak/>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8A05D2" w:rsidRPr="008A05D2" w:rsidTr="008A05D2">
        <w:trPr>
          <w:trHeight w:val="36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 Kepala TN, BKSDA, KPH Provinsi/Kabupaten</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BIIIb1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tcBorders>
              <w:top w:val="single" w:sz="4" w:space="0" w:color="auto"/>
              <w:left w:val="nil"/>
              <w:bottom w:val="single" w:sz="4" w:space="0" w:color="auto"/>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KPH di Kabupaten Kapuas Hulu</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3124"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1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4111"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a. Jumlah luas kawasan hutan yang dialokasikan untuk masyarakat(?)</w:t>
            </w: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433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BIVa1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luas kawasan hutan yang dialokasikan untuk masyarakat</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Berapa jumlah luas kawasan hutan yang dialokasikan untuk masyara-kat?</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Dokumen Usulan lokasi untuk hutan desa di desa Piasak, Desa Buak Limbang, Desa Nanga Betung, Desa Ujung Said, Desa Jongkong Kiri Hilir, Dan Desa Manua Sadap. Total jumlah kawasannya seluas 20.554,96 Ha.</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5</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hutan yang dialokasikan untuk dikelola oleh masyarakat adat. Hal ini dikarenakan tidak adanya aturan turunan mengenai hak kelola masyarakat adat terhadap hutan selain di UU kehutanan. Hal itu menyulitkan dinas di kabupaten untuk mengalokasikan hak kelolanya.</w:t>
            </w:r>
            <w:r w:rsidRPr="008A05D2">
              <w:rPr>
                <w:rFonts w:ascii="Times New Roman" w:eastAsia="Times New Roman" w:hAnsi="Times New Roman" w:cs="Times New Roman"/>
                <w:color w:val="000000"/>
                <w:sz w:val="20"/>
                <w:szCs w:val="20"/>
                <w:lang w:eastAsia="id-ID"/>
              </w:rPr>
              <w:br/>
              <w:t>Namun untuk hutan desa, ada bebeapa hutan desa yang sedang diusulkan tapi belum ada persetujuan dari Kemenhut.</w:t>
            </w:r>
            <w:r w:rsidRPr="008A05D2">
              <w:rPr>
                <w:rFonts w:ascii="Times New Roman" w:eastAsia="Times New Roman" w:hAnsi="Times New Roman" w:cs="Times New Roman"/>
                <w:color w:val="000000"/>
                <w:sz w:val="20"/>
                <w:szCs w:val="20"/>
                <w:lang w:eastAsia="id-ID"/>
              </w:rPr>
              <w:br/>
              <w:t xml:space="preserve">Saat ini Dinas Perkebunan dan kehutana hanya bisa mempersiapkan pola-pola pengelolaan yang berbasiskan kemasyarakatan dan mencoba melakukan </w:t>
            </w:r>
            <w:r w:rsidRPr="008A05D2">
              <w:rPr>
                <w:rFonts w:ascii="Times New Roman" w:eastAsia="Times New Roman" w:hAnsi="Times New Roman" w:cs="Times New Roman"/>
                <w:color w:val="000000"/>
                <w:sz w:val="20"/>
                <w:szCs w:val="20"/>
                <w:lang w:eastAsia="id-ID"/>
              </w:rPr>
              <w:lastRenderedPageBreak/>
              <w:t>identifikasi kelompok masyarakat sekitar kawasan hutan.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4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815"/>
        </w:trPr>
        <w:tc>
          <w:tcPr>
            <w:tcW w:w="714" w:type="dxa"/>
            <w:tcBorders>
              <w:top w:val="nil"/>
              <w:left w:val="single" w:sz="4" w:space="0" w:color="auto"/>
              <w:bottom w:val="single" w:sz="4" w:space="0" w:color="auto"/>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BIVb1</w:t>
            </w:r>
          </w:p>
        </w:tc>
        <w:tc>
          <w:tcPr>
            <w:tcW w:w="1115" w:type="dxa"/>
            <w:tcBorders>
              <w:top w:val="nil"/>
              <w:left w:val="single" w:sz="4" w:space="0" w:color="auto"/>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295" w:type="dxa"/>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mengenai umlah unit Pengelola Hutan (KPHP/KPHL)  sebab unit pengelola KPH belum terbentuk di Kabupaten Kapuas Hulu</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Kawasan hutan yang dikelola oleh KPH baru ada satu (1), dan itupun masih berbentuk model.</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6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8A05D2" w:rsidRPr="008A05D2" w:rsidTr="008A05D2">
        <w:trPr>
          <w:trHeight w:val="63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357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BIVc1</w:t>
            </w:r>
          </w:p>
        </w:tc>
        <w:tc>
          <w:tcPr>
            <w:tcW w:w="1115"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saja dasar pertimbangan yang digunakan dalam pemberian izin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Kehutanan</w:t>
            </w:r>
          </w:p>
        </w:tc>
        <w:tc>
          <w:tcPr>
            <w:tcW w:w="1728"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Permenhut No 14 Tahun 2011 tentang IPK, Permenhut No. 46 tahun 2009 tentang Pemberian izin HHK dan HHBK, Permenhut No 49 Tahun 2008 tentang Hutan desa, Permenhut no 53 tahun 2011 tentang perubahan permenhut no 49 tahun 2008 tentang Hutan Desa, Permenhut No 55 tahun 2011 tentang tata cara permohonan izin usaha pemanfaatan HHK pada HTR dalam hutan tanaman, Perbub No 13 tahun 2010 tentang Tata Cara Penunjukan Hutan Hak</w:t>
            </w:r>
          </w:p>
        </w:tc>
        <w:tc>
          <w:tcPr>
            <w:tcW w:w="1249" w:type="dxa"/>
            <w:tcBorders>
              <w:top w:val="nil"/>
              <w:left w:val="nil"/>
              <w:bottom w:val="single" w:sz="4" w:space="0" w:color="auto"/>
              <w:right w:val="single" w:sz="4" w:space="0" w:color="auto"/>
            </w:tcBorders>
            <w:shd w:val="clear" w:color="000000" w:fill="000000"/>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5</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Semua perizinan masih mengacu kepada Peraturan Menteri Kehutanan dan Perbup yang dikeluarkan oleh Bupati Kapuas Hulu.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4</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V. Pengendalian dan Penegakan Hukum  </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8A05D2" w:rsidRPr="008A05D2" w:rsidTr="008A05D2">
        <w:trPr>
          <w:trHeight w:val="34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Pimpinan KPH Provinsi/Kabupaten </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BVa1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Kinerja KPH dalam penerapan sistem pengendalian internal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KPH</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KPH di Kabupaten Kapuas Hulu</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BVa2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Mekanisme Kerja KPH yang me-nerapkan sistem pengenda-lian internal sudah mengadopsi prinsip -prinsip </w:t>
            </w:r>
            <w:r w:rsidRPr="008A05D2">
              <w:rPr>
                <w:rFonts w:ascii="Times New Roman" w:eastAsia="Times New Roman" w:hAnsi="Times New Roman" w:cs="Times New Roman"/>
                <w:color w:val="000000"/>
                <w:sz w:val="20"/>
                <w:szCs w:val="20"/>
                <w:lang w:eastAsia="id-ID"/>
              </w:rPr>
              <w:lastRenderedPageBreak/>
              <w:t>good governance (6 prinsip)</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 xml:space="preserve">Apakah Mekanisme Kerja KPH yang menerapkan sistem pengen-dalian internal sudah mengadopsi prinsip-prinsip good </w:t>
            </w:r>
            <w:r w:rsidRPr="008A05D2">
              <w:rPr>
                <w:rFonts w:ascii="Times New Roman" w:eastAsia="Times New Roman" w:hAnsi="Times New Roman" w:cs="Times New Roman"/>
                <w:color w:val="000000"/>
                <w:sz w:val="20"/>
                <w:szCs w:val="20"/>
                <w:lang w:eastAsia="id-ID"/>
              </w:rPr>
              <w:lastRenderedPageBreak/>
              <w:t>governance (6 prinsip)?</w:t>
            </w:r>
          </w:p>
        </w:tc>
        <w:tc>
          <w:tcPr>
            <w:tcW w:w="1134" w:type="dxa"/>
            <w:tcBorders>
              <w:top w:val="nil"/>
              <w:left w:val="nil"/>
              <w:bottom w:val="single" w:sz="4" w:space="0" w:color="auto"/>
              <w:right w:val="single" w:sz="4" w:space="0" w:color="auto"/>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KPH</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Bagian kepegawaian Polda/Polres/Polresta</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58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BVb1</w:t>
            </w: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295" w:type="dxa"/>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Polres</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Data Personil Satuan Reskrim Kapuas Hulu. Tapi tidak menunjukkan siapa saja personil yang pernah mengikuti pelatihan terkait kehutanan dan lingkungan</w:t>
            </w:r>
          </w:p>
        </w:tc>
        <w:tc>
          <w:tcPr>
            <w:tcW w:w="1249"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Untuk pendidikan khusus, tidak pernah ada, namun jika berupa pelatihan-pelatihan, ada beberapa personil yang pernah mengikuti. Pelatihan yang terkait kehutanan dan lingkungan ini pernah dilaksanakan oleh Polres Kapuas Hulu, Polda Kalbar, dan LSM. Dalam wawancara ini didapatkan dokumen realisasi kebutuhan polisi khususnya di Satuan Reskrim.</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96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BVb2</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Sertifikat/Bukti Keikutsertaan pelatihan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Polres</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beberapa polisi yang pernah mengikuti pelatihan mengenai pidana kehutanan dan lingkungan, namun dokumen bukti keikutsertaannya tidak berhasil ditemukan</w:t>
            </w:r>
          </w:p>
        </w:tc>
        <w:tc>
          <w:tcPr>
            <w:tcW w:w="1249"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Menurut Kaur BINOP, beberapa orang yang pernah mngikuti pelatihan di Polda Kalbar mendapatkan sertifikat, tapi menurut Bagian Sumber Daya, sertifikatnya tidak ada, bahkan dokumen keikutsertaan juga seteah dicari-cari selama 2 hari, tidak berhasil ditemukan.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16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BVb3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Pengalaman kerja dalam bidang yang terkait pidana kehutanan dan lingkungan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Polres</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pengalaman kerja polisi yang bertugas dalam penegakan hukum bidang kehutanan dan lingkungan hidup</w:t>
            </w:r>
          </w:p>
        </w:tc>
        <w:tc>
          <w:tcPr>
            <w:tcW w:w="1249"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Rata-rata lama personil yang bertugas di Reskrim Polres Kapuas Hulu selama 4 tahun. Untuk Kaur BINOP nya sendiri sejak berpangkat Briptu hingga saat ini (IPDA) masih di Reskrim Polres Kabupaten Kapuas Hulu.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7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lastRenderedPageBreak/>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Bagian kepegawaian Kejati/Kejari</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26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BVc1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Kejari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Surat Perintah Kajati Kalbar untuk mengikuti Pelatihan Penanganan Tindak Pidana Kehutanan. Hanya 1 orang yang mengikuti pelatihan tersebut.</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4</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Yang pernah mengikuti pendidikan dibidang kehutanan untuk sementara ini baru 1 orang, yaitu pak Acep. Pendidikan itu diikuti pada bulan Mei 2012 di Bandung. Untuk bidang lingkungan, belum ada jaksa yang pernah mengikuti pendidikannya, hal ini disebabkan keterbatasan jumlah personil di Kejaksaan Negeri Putussibau.Dalam wawancara ini, didapatkan dokumen proyeksi kebutuhan jaksa.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357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BVc2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Sertifikat/Bukti Keikutsertaan pelatihan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Kejari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Dokumen sertifikat belum didapatkan dari Kejksaan Agung RI</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sertifikat yang langsung dikeluarkan oleh Kejaksaan Agung RI sesuai dengan wilayah sentra pendidikan yang menaungi Kejaksaan Negeri Putussibau, dalam hal ini Kejaksaan Negeri Putussibau mengikuti pendidikan di Sentra Diklat Jawa Barat.</w:t>
            </w:r>
            <w:r w:rsidRPr="008A05D2">
              <w:rPr>
                <w:rFonts w:ascii="Times New Roman" w:eastAsia="Times New Roman" w:hAnsi="Times New Roman" w:cs="Times New Roman"/>
                <w:color w:val="000000"/>
                <w:sz w:val="20"/>
                <w:szCs w:val="20"/>
                <w:lang w:eastAsia="id-ID"/>
              </w:rPr>
              <w:br/>
              <w:t>Namun karena kegiatannya belum lama dilaksanakan, sertifikatnya belum dikirim juga ke Kejaksaan Negeri Putussibau.</w:t>
            </w:r>
            <w:r w:rsidRPr="008A05D2">
              <w:rPr>
                <w:rFonts w:ascii="Times New Roman" w:eastAsia="Times New Roman" w:hAnsi="Times New Roman" w:cs="Times New Roman"/>
                <w:color w:val="000000"/>
                <w:sz w:val="20"/>
                <w:szCs w:val="20"/>
                <w:lang w:eastAsia="id-ID"/>
              </w:rPr>
              <w:br/>
              <w:t>Dalam wawancara ini, diperoleh salinan Surat Perintah Kajati Kalbar untuk Saudara Acep mengikuti pendidikan dan Pelatihan Penanganan Tindak Pidana Kehutanan.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5</w:t>
            </w:r>
          </w:p>
        </w:tc>
      </w:tr>
      <w:tr w:rsidR="008A05D2" w:rsidRPr="008A05D2" w:rsidTr="008A05D2">
        <w:trPr>
          <w:trHeight w:val="216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BVc3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Pengalaman kerja dalam bidang yang terkait pidana kehutanan dan lingkunga</w:t>
            </w:r>
            <w:r w:rsidRPr="008A05D2">
              <w:rPr>
                <w:rFonts w:ascii="Times New Roman" w:eastAsia="Times New Roman" w:hAnsi="Times New Roman" w:cs="Times New Roman"/>
                <w:color w:val="000000"/>
                <w:sz w:val="20"/>
                <w:szCs w:val="20"/>
                <w:lang w:eastAsia="id-ID"/>
              </w:rPr>
              <w:lastRenderedPageBreak/>
              <w:t>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 xml:space="preserve">Apakah pengalaman kerja jaksa yang bertugas dalam bidang yang terkait pidana kehutanan </w:t>
            </w:r>
            <w:r w:rsidRPr="008A05D2">
              <w:rPr>
                <w:rFonts w:ascii="Times New Roman" w:eastAsia="Times New Roman" w:hAnsi="Times New Roman" w:cs="Times New Roman"/>
                <w:color w:val="000000"/>
                <w:sz w:val="20"/>
                <w:szCs w:val="20"/>
                <w:lang w:eastAsia="id-ID"/>
              </w:rPr>
              <w:lastRenderedPageBreak/>
              <w:t>dan lingkungan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Kejari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Surat Perintah Kajati Kalbar untuk mengikuti Pelatihan Penanganan Tindak Pidana Kehutanan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4</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Untuk masa pengabdian di Kejaksaan Negeri Putussibau, sudah terbilang cukup memadai, lebih dari 3 tahun, tapi dalam hal kemampuan menangani kasus terkait kehutanan pasca pendidikan, masih kurang memadai. Hal ini </w:t>
            </w:r>
            <w:r w:rsidRPr="008A05D2">
              <w:rPr>
                <w:rFonts w:ascii="Times New Roman" w:eastAsia="Times New Roman" w:hAnsi="Times New Roman" w:cs="Times New Roman"/>
                <w:color w:val="000000"/>
                <w:sz w:val="20"/>
                <w:szCs w:val="20"/>
                <w:lang w:eastAsia="id-ID"/>
              </w:rPr>
              <w:lastRenderedPageBreak/>
              <w:t>disebabkan Pak Acep baru mengikuti pendidikan pada bulan Mei, dan baru menangani 1 perkara (masih dalam proses)</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2</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7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4111"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Bagian kepegawaian Pengadilan Tinggi/Pengadilan Negeri</w:t>
            </w: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300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BVd1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Pengadilan Negeri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Data Hakim PN Putussibau, namun di dokumen itu tidak ada yang menunjukkan hakim mana yang memiliki kualifikasi di bidang kehutanan dan lingkungan. Tapi menurut wawancara, Ketua Pengadilan pernah mengikuti pelatihan hukum bidang kehutanan dan lingkungan.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 Dari 7 orang hakim, baru 1 orang hakim yang pernah mengikuti pelatihan hukum bidang kehutanan dan lingkungan, yaitu Ketua Pengadilan Putussibau. Pelatihan itu diikuti pada tahun 2011. Pelatihan tersebut dilaksanakan oleh Mahkamah Agung dan penunjukan peserta juga dari Mahkamah Agung. Dalam wawancara ini, hanya didapat dokumen realisasi kebutuhan hakim yang berbentuk “Data Hakim Pengadilan Negeri Putussibau”. </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17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BVd2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Sertifikat/Bukti Keikutsertaan pelatihan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Pengadilan Negeri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dokumen yang menunjukkan bukti keikutsertaan pelatihan mengenai kehutanan dan lingkungan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Karena pelatihan itu dilaksanakan oleh Mahkamah Agung, maka pelatihan ini memiliki sertifikat,, tapi keberadaan sertifikatnya tidak diketahui dimana.</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3</w:t>
            </w:r>
          </w:p>
        </w:tc>
      </w:tr>
      <w:tr w:rsidR="008A05D2" w:rsidRPr="008A05D2" w:rsidTr="008A05D2">
        <w:trPr>
          <w:trHeight w:val="23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BVd3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Pengalaman kerja dalam bidang yang terkait pidana kehutanan dan lingkungan</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Pengadilan Negeri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Data Hakim PN Putussibau. Dokumen ini hanya menunjukkan lamanya bertugas sebagai hukum secara umum. Ketua Pengadilan yang memiliki kapasitas dibidang hukum pidana kehutanan dan lingkungan telah bertugas menjadi hakin sejak tahun 1996</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memadai disebabkan sampai saat ini, hakim yang telah mengikuti pelatihan hukum lingkungan masih belum menemukan kasus yang berkaitan dengan lingkungan naik ke pengadilan negeri putussibau.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34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24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Unit reskrim Polda, Unit reskrim Polres/Polresta</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BVe1</w:t>
            </w:r>
          </w:p>
        </w:tc>
        <w:tc>
          <w:tcPr>
            <w:tcW w:w="111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295" w:type="dxa"/>
            <w:vMerge w:val="restart"/>
            <w:tcBorders>
              <w:top w:val="nil"/>
              <w:left w:val="single" w:sz="4" w:space="0" w:color="auto"/>
              <w:bottom w:val="single" w:sz="4" w:space="0" w:color="000000"/>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Apakah jumlah kasus perkara pidana kehutanan/lingkungan yang diserahkan oleh Kepolisian ke kejaksaan dalam lima tahun terakhir </w:t>
            </w:r>
            <w:r w:rsidRPr="008A05D2">
              <w:rPr>
                <w:rFonts w:ascii="Times New Roman" w:eastAsia="Times New Roman" w:hAnsi="Times New Roman" w:cs="Times New Roman"/>
                <w:color w:val="000000"/>
                <w:sz w:val="20"/>
                <w:szCs w:val="20"/>
                <w:lang w:eastAsia="id-ID"/>
              </w:rPr>
              <w:lastRenderedPageBreak/>
              <w:t>sudah memadai?</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Kejari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Dokumen perkara pidana kehutanan/lingkungan tidak bisa didapatkan, sebab masih dalam proses proses penyidikan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perkara dalam 5 tahun ini yang masuk ke Kejaksaan Negeri Putussibau,  hanya ada 1 perkara. Itupun masih dalam proses hingga saat ini. Kejaksaan Negeri Putussibau tidak melaksanakan gelar perkara, seab tugas gelar perkara itu di kepolisian, Kejaksaan hanya mengikuti saja jika diperlukan.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2</w:t>
            </w:r>
          </w:p>
        </w:tc>
      </w:tr>
      <w:tr w:rsidR="008A05D2" w:rsidRPr="008A05D2" w:rsidTr="008A05D2">
        <w:trPr>
          <w:trHeight w:val="570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Polres</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Terdapat dokumen rekapitulasi kasus pidana yang menyangkut kehutanan dan lingkungan hidup sejak tahun 2002. Tahun 2002, ada 3 kasus</w:t>
            </w:r>
            <w:r w:rsidRPr="008A05D2">
              <w:rPr>
                <w:rFonts w:ascii="Times New Roman" w:eastAsia="Times New Roman" w:hAnsi="Times New Roman" w:cs="Times New Roman"/>
                <w:color w:val="000000"/>
                <w:sz w:val="20"/>
                <w:szCs w:val="20"/>
                <w:lang w:eastAsia="id-ID"/>
              </w:rPr>
              <w:br/>
              <w:t>Tahun 2003, ada 3 kasus</w:t>
            </w:r>
            <w:r w:rsidRPr="008A05D2">
              <w:rPr>
                <w:rFonts w:ascii="Times New Roman" w:eastAsia="Times New Roman" w:hAnsi="Times New Roman" w:cs="Times New Roman"/>
                <w:color w:val="000000"/>
                <w:sz w:val="20"/>
                <w:szCs w:val="20"/>
                <w:lang w:eastAsia="id-ID"/>
              </w:rPr>
              <w:br/>
              <w:t>Tahun 2004, ada 11 kasus</w:t>
            </w:r>
            <w:r w:rsidRPr="008A05D2">
              <w:rPr>
                <w:rFonts w:ascii="Times New Roman" w:eastAsia="Times New Roman" w:hAnsi="Times New Roman" w:cs="Times New Roman"/>
                <w:color w:val="000000"/>
                <w:sz w:val="20"/>
                <w:szCs w:val="20"/>
                <w:lang w:eastAsia="id-ID"/>
              </w:rPr>
              <w:br/>
              <w:t>Tahun 2005, ada 18 kasus</w:t>
            </w:r>
            <w:r w:rsidRPr="008A05D2">
              <w:rPr>
                <w:rFonts w:ascii="Times New Roman" w:eastAsia="Times New Roman" w:hAnsi="Times New Roman" w:cs="Times New Roman"/>
                <w:color w:val="000000"/>
                <w:sz w:val="20"/>
                <w:szCs w:val="20"/>
                <w:lang w:eastAsia="id-ID"/>
              </w:rPr>
              <w:br/>
              <w:t>Tahun 2008, ada 5 kasus</w:t>
            </w:r>
            <w:r w:rsidRPr="008A05D2">
              <w:rPr>
                <w:rFonts w:ascii="Times New Roman" w:eastAsia="Times New Roman" w:hAnsi="Times New Roman" w:cs="Times New Roman"/>
                <w:color w:val="000000"/>
                <w:sz w:val="20"/>
                <w:szCs w:val="20"/>
                <w:lang w:eastAsia="id-ID"/>
              </w:rPr>
              <w:br/>
              <w:t>Thuan 2011, ada 3 kasus</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5</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Kasus yang terkait dengan tindak pidana kehutanan memuncak pada tahun 2004 – 2005. Sebelum dan setelah tahun tersebut sangat sedikit, adapun rinciannya adalah sebagai berikut:</w:t>
            </w:r>
            <w:r w:rsidRPr="008A05D2">
              <w:rPr>
                <w:rFonts w:ascii="Times New Roman" w:eastAsia="Times New Roman" w:hAnsi="Times New Roman" w:cs="Times New Roman"/>
                <w:color w:val="000000"/>
                <w:sz w:val="20"/>
                <w:szCs w:val="20"/>
                <w:lang w:eastAsia="id-ID"/>
              </w:rPr>
              <w:br/>
              <w:t>Tahun 2002, ada 3 kasus</w:t>
            </w:r>
            <w:r w:rsidRPr="008A05D2">
              <w:rPr>
                <w:rFonts w:ascii="Times New Roman" w:eastAsia="Times New Roman" w:hAnsi="Times New Roman" w:cs="Times New Roman"/>
                <w:color w:val="000000"/>
                <w:sz w:val="20"/>
                <w:szCs w:val="20"/>
                <w:lang w:eastAsia="id-ID"/>
              </w:rPr>
              <w:br/>
              <w:t>Tahun 2003, ada 3 kasus</w:t>
            </w:r>
            <w:r w:rsidRPr="008A05D2">
              <w:rPr>
                <w:rFonts w:ascii="Times New Roman" w:eastAsia="Times New Roman" w:hAnsi="Times New Roman" w:cs="Times New Roman"/>
                <w:color w:val="000000"/>
                <w:sz w:val="20"/>
                <w:szCs w:val="20"/>
                <w:lang w:eastAsia="id-ID"/>
              </w:rPr>
              <w:br/>
              <w:t>Tahun 2004, ada 11 kasus</w:t>
            </w:r>
            <w:r w:rsidRPr="008A05D2">
              <w:rPr>
                <w:rFonts w:ascii="Times New Roman" w:eastAsia="Times New Roman" w:hAnsi="Times New Roman" w:cs="Times New Roman"/>
                <w:color w:val="000000"/>
                <w:sz w:val="20"/>
                <w:szCs w:val="20"/>
                <w:lang w:eastAsia="id-ID"/>
              </w:rPr>
              <w:br/>
              <w:t>Tahun 2005, ada 18 kasus</w:t>
            </w:r>
            <w:r w:rsidRPr="008A05D2">
              <w:rPr>
                <w:rFonts w:ascii="Times New Roman" w:eastAsia="Times New Roman" w:hAnsi="Times New Roman" w:cs="Times New Roman"/>
                <w:color w:val="000000"/>
                <w:sz w:val="20"/>
                <w:szCs w:val="20"/>
                <w:lang w:eastAsia="id-ID"/>
              </w:rPr>
              <w:br/>
              <w:t>Tahun 2008, ada 5 kasus</w:t>
            </w:r>
            <w:r w:rsidRPr="008A05D2">
              <w:rPr>
                <w:rFonts w:ascii="Times New Roman" w:eastAsia="Times New Roman" w:hAnsi="Times New Roman" w:cs="Times New Roman"/>
                <w:color w:val="000000"/>
                <w:sz w:val="20"/>
                <w:szCs w:val="20"/>
                <w:lang w:eastAsia="id-ID"/>
              </w:rPr>
              <w:br/>
              <w:t>Thuan 2011, ada 3 kasus</w:t>
            </w:r>
            <w:r w:rsidRPr="008A05D2">
              <w:rPr>
                <w:rFonts w:ascii="Times New Roman" w:eastAsia="Times New Roman" w:hAnsi="Times New Roman" w:cs="Times New Roman"/>
                <w:color w:val="000000"/>
                <w:sz w:val="20"/>
                <w:szCs w:val="20"/>
                <w:lang w:eastAsia="id-ID"/>
              </w:rPr>
              <w:br/>
              <w:t>Semua kasus yang ditemukan di satuan Reskrim Polres Kapuas Hulu selalu dilakukan gelar perkara. Bahkan gelar perkara ini dilakukan beberapa kali. Pada umumnya gelar perkara ini dilakukan sebanyak 2 kali, yaitu 1) Untuk menentukan rencana tindak lanjut proses penyidikan (untuk memastikan kasus tersebut masuk ke dalam perkara pidana) 2)Untuk mematangkan kasus dalam rangka akan melimpahkannya ke kejaksaan.</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5</w:t>
            </w:r>
          </w:p>
        </w:tc>
      </w:tr>
      <w:tr w:rsidR="008A05D2" w:rsidRPr="008A05D2" w:rsidTr="008A05D2">
        <w:trPr>
          <w:trHeight w:val="1200"/>
        </w:trPr>
        <w:tc>
          <w:tcPr>
            <w:tcW w:w="714" w:type="dxa"/>
            <w:vMerge/>
            <w:tcBorders>
              <w:top w:val="nil"/>
              <w:left w:val="single" w:sz="4" w:space="0" w:color="auto"/>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vMerge/>
            <w:tcBorders>
              <w:top w:val="nil"/>
              <w:left w:val="single" w:sz="4" w:space="0" w:color="auto"/>
              <w:bottom w:val="single" w:sz="4" w:space="0" w:color="000000"/>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Pengadilan Negeri</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Pengadilan negeri Putussibau hanya mencari data kasus perkara pidana kehutanan/lingkungan, hasilnya, tidak ada perkara sejak tahun 2009</w:t>
            </w:r>
          </w:p>
        </w:tc>
        <w:tc>
          <w:tcPr>
            <w:tcW w:w="1249"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Sejak tahun 2009, tidak ada kasus perkara pidana kehutanan/lingkungan yang naik ke pengadilan negeri Putussibau.</w:t>
            </w:r>
          </w:p>
        </w:tc>
        <w:tc>
          <w:tcPr>
            <w:tcW w:w="1382" w:type="dxa"/>
            <w:tcBorders>
              <w:top w:val="nil"/>
              <w:left w:val="nil"/>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1</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Isu dalam PGA REDD+</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VI. Infrastruktur REDD+</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a.  Keberadaan lembaga REDD+ di Nasional dan Sub nasional</w:t>
            </w:r>
          </w:p>
        </w:tc>
      </w:tr>
      <w:tr w:rsidR="008A05D2" w:rsidRPr="008A05D2" w:rsidTr="008A05D2">
        <w:trPr>
          <w:trHeight w:val="42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Nasional: UKP4 (Satgas REDD+)</w:t>
            </w:r>
            <w:r w:rsidRPr="008A05D2">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BVIa1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Ada atau tidak adanya lembaga REDD+ di Nasional dan Sub </w:t>
            </w:r>
            <w:r w:rsidRPr="008A05D2">
              <w:rPr>
                <w:rFonts w:ascii="Times New Roman" w:eastAsia="Times New Roman" w:hAnsi="Times New Roman" w:cs="Times New Roman"/>
                <w:color w:val="000000"/>
                <w:sz w:val="20"/>
                <w:szCs w:val="20"/>
                <w:lang w:eastAsia="id-ID"/>
              </w:rPr>
              <w:lastRenderedPageBreak/>
              <w:t>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Apakah terdapat lembaga REDD+ di Nasional dan Sub nasional?</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BVIa2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dukungan peraturan ter-hadap lembaga REDD+ 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8A05D2" w:rsidRPr="008A05D2" w:rsidTr="008A05D2">
        <w:trPr>
          <w:trHeight w:val="58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Nasional: UKP4 (Satgas REDD+)</w:t>
            </w:r>
            <w:r w:rsidRPr="008A05D2">
              <w:rPr>
                <w:rFonts w:ascii="Times New Roman" w:eastAsia="Times New Roman" w:hAnsi="Times New Roman" w:cs="Times New Roman"/>
                <w:b/>
                <w:bCs/>
                <w:color w:val="000000"/>
                <w:sz w:val="20"/>
                <w:szCs w:val="20"/>
                <w:lang w:eastAsia="id-ID"/>
              </w:rPr>
              <w:br/>
              <w:t xml:space="preserve">  Sub nasional: Dinas Kehutanan dan Lingkungan Hidup</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BVIb1</w:t>
            </w: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atau tidak adanya lembaga MRV di Nasional dan Sub nasional</w:t>
            </w:r>
          </w:p>
        </w:tc>
        <w:tc>
          <w:tcPr>
            <w:tcW w:w="1295" w:type="dxa"/>
            <w:tcBorders>
              <w:top w:val="nil"/>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terdapat lembaga MRV di Nasional dan Sub nasional?</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BVIb2</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dukungan peraturan ter-hadap lembaga MRV 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45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4111" w:type="dxa"/>
            <w:gridSpan w:val="3"/>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c. Keberadaan lembaga finansial di Nasional dan Sub nasional</w:t>
            </w: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Nasional: UKP4 (Satgas REDD+)</w:t>
            </w:r>
            <w:r w:rsidRPr="008A05D2">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15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BVIc1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atau tidak adanya lembaga finansial di tingkat Nasional dan Sub 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terdapat lembaga finansial di tingkat Nasional dan Sub nasional?</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41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BVIc2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Dukungan peraturan terhadap keberadaan lembaga finansial di </w:t>
            </w:r>
            <w:r w:rsidRPr="008A05D2">
              <w:rPr>
                <w:rFonts w:ascii="Times New Roman" w:eastAsia="Times New Roman" w:hAnsi="Times New Roman" w:cs="Times New Roman"/>
                <w:color w:val="000000"/>
                <w:sz w:val="20"/>
                <w:szCs w:val="20"/>
                <w:lang w:eastAsia="id-ID"/>
              </w:rPr>
              <w:lastRenderedPageBreak/>
              <w:t>tingkat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 xml:space="preserve">Apakah dukungan peraturan ter-hadap lembaga finansial </w:t>
            </w:r>
            <w:r w:rsidRPr="008A05D2">
              <w:rPr>
                <w:rFonts w:ascii="Times New Roman" w:eastAsia="Times New Roman" w:hAnsi="Times New Roman" w:cs="Times New Roman"/>
                <w:color w:val="000000"/>
                <w:sz w:val="20"/>
                <w:szCs w:val="20"/>
                <w:lang w:eastAsia="id-ID"/>
              </w:rPr>
              <w:lastRenderedPageBreak/>
              <w:t>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45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Ketua Satgas REDD+/Pokja REDD+</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BVId1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BVId2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114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BVId3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5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8A05D2">
              <w:rPr>
                <w:rFonts w:ascii="Times New Roman" w:eastAsia="Times New Roman" w:hAnsi="Times New Roman" w:cs="Times New Roman"/>
                <w:b/>
                <w:bCs/>
                <w:color w:val="000000"/>
                <w:sz w:val="20"/>
                <w:szCs w:val="20"/>
                <w:lang w:eastAsia="id-ID"/>
              </w:rPr>
              <w:br/>
              <w:t xml:space="preserve"> (Strategi, monitoring, lembaga)</w:t>
            </w:r>
          </w:p>
        </w:tc>
      </w:tr>
      <w:tr w:rsidR="008A05D2" w:rsidRPr="008A05D2" w:rsidTr="008A05D2">
        <w:trPr>
          <w:trHeight w:val="36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Nasional: Ketua Satgas REDD+</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lastRenderedPageBreak/>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BVIe1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tcBorders>
              <w:top w:val="single" w:sz="4" w:space="0" w:color="auto"/>
              <w:left w:val="nil"/>
              <w:bottom w:val="single" w:sz="4" w:space="0" w:color="auto"/>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450"/>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6379" w:type="dxa"/>
            <w:gridSpan w:val="4"/>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70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single" w:sz="4" w:space="0" w:color="auto"/>
              <w:right w:val="nil"/>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:Nasional: UKP4 (Satgas REDD+)</w:t>
            </w:r>
            <w:r w:rsidRPr="008A05D2">
              <w:rPr>
                <w:rFonts w:ascii="Times New Roman" w:eastAsia="Times New Roman" w:hAnsi="Times New Roman" w:cs="Times New Roman"/>
                <w:b/>
                <w:bCs/>
                <w:color w:val="000000"/>
                <w:sz w:val="20"/>
                <w:szCs w:val="20"/>
                <w:lang w:eastAsia="id-ID"/>
              </w:rPr>
              <w:br/>
              <w:t xml:space="preserve">  Sub nasional: Dinas Kehutanan dan Lingkungan Hidup</w:t>
            </w: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24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BVIf1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Ada atau tidak adanya kerangka pengaman di tingkat Nasional dan Sub 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terdapat kerangka pengaman di tingkat Nasional dan Sub nasional?</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BVIf2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dukungan peraturan ter-hadap kerangka pengaman 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255"/>
        </w:trPr>
        <w:tc>
          <w:tcPr>
            <w:tcW w:w="71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115"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95"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728"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p>
        </w:tc>
      </w:tr>
      <w:tr w:rsidR="008A05D2" w:rsidRPr="008A05D2" w:rsidTr="008A05D2">
        <w:trPr>
          <w:trHeight w:val="58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Indikator</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7761" w:type="dxa"/>
            <w:gridSpan w:val="5"/>
            <w:tcBorders>
              <w:top w:val="nil"/>
              <w:left w:val="nil"/>
              <w:bottom w:val="nil"/>
              <w:right w:val="nil"/>
            </w:tcBorders>
            <w:shd w:val="clear" w:color="auto" w:fill="auto"/>
            <w:hideMark/>
          </w:tcPr>
          <w:p w:rsidR="008A05D2" w:rsidRPr="008A05D2" w:rsidRDefault="008A05D2" w:rsidP="008A05D2">
            <w:pPr>
              <w:spacing w:after="24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8A05D2">
              <w:rPr>
                <w:rFonts w:ascii="Times New Roman" w:eastAsia="Times New Roman" w:hAnsi="Times New Roman" w:cs="Times New Roman"/>
                <w:b/>
                <w:bCs/>
                <w:color w:val="000000"/>
                <w:sz w:val="20"/>
                <w:szCs w:val="20"/>
                <w:lang w:eastAsia="id-ID"/>
              </w:rPr>
              <w:br/>
              <w:t xml:space="preserve">  akibat pembagian hasil REDD+</w:t>
            </w:r>
          </w:p>
        </w:tc>
      </w:tr>
      <w:tr w:rsidR="008A05D2" w:rsidRPr="008A05D2" w:rsidTr="008A05D2">
        <w:trPr>
          <w:trHeight w:val="255"/>
        </w:trPr>
        <w:tc>
          <w:tcPr>
            <w:tcW w:w="1829"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Wawancara - Sumber informasi</w:t>
            </w:r>
          </w:p>
        </w:tc>
        <w:tc>
          <w:tcPr>
            <w:tcW w:w="1295"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862" w:type="dxa"/>
            <w:gridSpan w:val="2"/>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 Ketua Satgas REDD+/Pokja REDD+</w:t>
            </w:r>
          </w:p>
        </w:tc>
        <w:tc>
          <w:tcPr>
            <w:tcW w:w="1249"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2268" w:type="dxa"/>
            <w:tcBorders>
              <w:top w:val="nil"/>
              <w:left w:val="nil"/>
              <w:bottom w:val="nil"/>
              <w:right w:val="nil"/>
            </w:tcBorders>
            <w:shd w:val="clear" w:color="auto" w:fill="auto"/>
            <w:noWrap/>
            <w:hideMark/>
          </w:tcPr>
          <w:p w:rsidR="008A05D2" w:rsidRPr="008A05D2" w:rsidRDefault="008A05D2" w:rsidP="008A05D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p>
        </w:tc>
      </w:tr>
      <w:tr w:rsidR="008A05D2" w:rsidRPr="008A05D2" w:rsidTr="008A05D2">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Kode</w:t>
            </w:r>
          </w:p>
        </w:tc>
        <w:tc>
          <w:tcPr>
            <w:tcW w:w="111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Panduan Analisis Dokumen</w:t>
            </w:r>
          </w:p>
        </w:tc>
        <w:tc>
          <w:tcPr>
            <w:tcW w:w="1295"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Sumber Data</w:t>
            </w:r>
          </w:p>
        </w:tc>
        <w:tc>
          <w:tcPr>
            <w:tcW w:w="172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Dokumen</w:t>
            </w:r>
          </w:p>
        </w:tc>
        <w:tc>
          <w:tcPr>
            <w:tcW w:w="2268"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jc w:val="center"/>
              <w:rPr>
                <w:rFonts w:ascii="Times New Roman" w:eastAsia="Times New Roman" w:hAnsi="Times New Roman" w:cs="Times New Roman"/>
                <w:b/>
                <w:bCs/>
                <w:color w:val="000000"/>
                <w:sz w:val="20"/>
                <w:szCs w:val="20"/>
                <w:lang w:eastAsia="id-ID"/>
              </w:rPr>
            </w:pPr>
            <w:r w:rsidRPr="008A05D2">
              <w:rPr>
                <w:rFonts w:ascii="Times New Roman" w:eastAsia="Times New Roman" w:hAnsi="Times New Roman" w:cs="Times New Roman"/>
                <w:b/>
                <w:bCs/>
                <w:color w:val="000000"/>
                <w:sz w:val="20"/>
                <w:szCs w:val="20"/>
                <w:lang w:eastAsia="id-ID"/>
              </w:rPr>
              <w:t>Kategori Data Wawancara</w:t>
            </w:r>
          </w:p>
        </w:tc>
      </w:tr>
      <w:tr w:rsidR="008A05D2" w:rsidRPr="008A05D2" w:rsidTr="008A05D2">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BVIg1</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Jumlah SDM yang memadai dan memiliki kualifikasi dalam mediasi konflik pembagian hasil </w:t>
            </w:r>
            <w:r w:rsidRPr="008A05D2">
              <w:rPr>
                <w:rFonts w:ascii="Times New Roman" w:eastAsia="Times New Roman" w:hAnsi="Times New Roman" w:cs="Times New Roman"/>
                <w:color w:val="000000"/>
                <w:sz w:val="20"/>
                <w:szCs w:val="20"/>
                <w:lang w:eastAsia="id-ID"/>
              </w:rPr>
              <w:lastRenderedPageBreak/>
              <w:t>REDD+ di tingkat Nasional dan Sub-nasional</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 xml:space="preserve">Apakah SDM yang memiliki kuali-fikasi memadai dalam mediasi konflik pembagian hasil REDD+ di </w:t>
            </w:r>
            <w:r w:rsidRPr="008A05D2">
              <w:rPr>
                <w:rFonts w:ascii="Times New Roman" w:eastAsia="Times New Roman" w:hAnsi="Times New Roman" w:cs="Times New Roman"/>
                <w:color w:val="000000"/>
                <w:sz w:val="20"/>
                <w:szCs w:val="20"/>
                <w:lang w:eastAsia="id-ID"/>
              </w:rPr>
              <w:lastRenderedPageBreak/>
              <w:t>tingkat Nasional dan Sub-nasional jumlahnya 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Satgas REDD+</w:t>
            </w:r>
          </w:p>
        </w:tc>
        <w:tc>
          <w:tcPr>
            <w:tcW w:w="662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Tidak ada Satgas REDD+ di Kabupaten Kapuas Hulu</w:t>
            </w:r>
          </w:p>
        </w:tc>
      </w:tr>
      <w:tr w:rsidR="008A05D2" w:rsidRPr="008A05D2" w:rsidTr="008A05D2">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lastRenderedPageBreak/>
              <w:t>BVIg2</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Sertifikat/Bukti Keikutsertaan pelatihan mediasi konflik pembagian hasil REDD+</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r w:rsidR="008A05D2" w:rsidRPr="008A05D2" w:rsidTr="008A05D2">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BVIg3</w:t>
            </w:r>
          </w:p>
        </w:tc>
        <w:tc>
          <w:tcPr>
            <w:tcW w:w="111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 xml:space="preserve">Pengalaman kerja dalam medi-asi konflik pembagian hasil REDD+ </w:t>
            </w:r>
          </w:p>
        </w:tc>
        <w:tc>
          <w:tcPr>
            <w:tcW w:w="1295" w:type="dxa"/>
            <w:tcBorders>
              <w:top w:val="nil"/>
              <w:left w:val="nil"/>
              <w:bottom w:val="single" w:sz="4" w:space="0" w:color="auto"/>
              <w:right w:val="single" w:sz="4" w:space="0" w:color="auto"/>
            </w:tcBorders>
            <w:shd w:val="clear" w:color="auto" w:fill="auto"/>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34" w:type="dxa"/>
            <w:tcBorders>
              <w:top w:val="nil"/>
              <w:left w:val="nil"/>
              <w:bottom w:val="single" w:sz="4" w:space="0" w:color="auto"/>
              <w:right w:val="single" w:sz="4" w:space="0" w:color="auto"/>
            </w:tcBorders>
            <w:shd w:val="clear" w:color="000000" w:fill="F2DDDC"/>
            <w:noWrap/>
            <w:hideMark/>
          </w:tcPr>
          <w:p w:rsidR="008A05D2" w:rsidRPr="008A05D2" w:rsidRDefault="008A05D2" w:rsidP="008A05D2">
            <w:pPr>
              <w:spacing w:after="0" w:line="240" w:lineRule="auto"/>
              <w:jc w:val="center"/>
              <w:rPr>
                <w:rFonts w:ascii="Times New Roman" w:eastAsia="Times New Roman" w:hAnsi="Times New Roman" w:cs="Times New Roman"/>
                <w:color w:val="000000"/>
                <w:sz w:val="20"/>
                <w:szCs w:val="20"/>
                <w:lang w:eastAsia="id-ID"/>
              </w:rPr>
            </w:pPr>
            <w:r w:rsidRPr="008A05D2">
              <w:rPr>
                <w:rFonts w:ascii="Times New Roman" w:eastAsia="Times New Roman" w:hAnsi="Times New Roman" w:cs="Times New Roman"/>
                <w:color w:val="000000"/>
                <w:sz w:val="20"/>
                <w:szCs w:val="20"/>
                <w:lang w:eastAsia="id-ID"/>
              </w:rPr>
              <w:t>Satgas REDD+</w:t>
            </w:r>
          </w:p>
        </w:tc>
        <w:tc>
          <w:tcPr>
            <w:tcW w:w="6627" w:type="dxa"/>
            <w:gridSpan w:val="4"/>
            <w:vMerge/>
            <w:tcBorders>
              <w:top w:val="nil"/>
              <w:left w:val="nil"/>
              <w:bottom w:val="single" w:sz="4" w:space="0" w:color="auto"/>
              <w:right w:val="single" w:sz="4" w:space="0" w:color="auto"/>
            </w:tcBorders>
            <w:vAlign w:val="center"/>
            <w:hideMark/>
          </w:tcPr>
          <w:p w:rsidR="008A05D2" w:rsidRPr="008A05D2" w:rsidRDefault="008A05D2" w:rsidP="008A05D2">
            <w:pPr>
              <w:spacing w:after="0" w:line="240" w:lineRule="auto"/>
              <w:rPr>
                <w:rFonts w:ascii="Times New Roman" w:eastAsia="Times New Roman" w:hAnsi="Times New Roman" w:cs="Times New Roman"/>
                <w:color w:val="000000"/>
                <w:sz w:val="20"/>
                <w:szCs w:val="20"/>
                <w:lang w:eastAsia="id-ID"/>
              </w:rPr>
            </w:pPr>
          </w:p>
        </w:tc>
      </w:tr>
    </w:tbl>
    <w:p w:rsidR="008A05D2" w:rsidRDefault="008A05D2"/>
    <w:sectPr w:rsidR="008A05D2"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5D5F74"/>
    <w:rsid w:val="006E5970"/>
    <w:rsid w:val="008A05D2"/>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8A05D2"/>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8A05D2"/>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8A05D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2">
    <w:name w:val="xl112"/>
    <w:basedOn w:val="Normal"/>
    <w:rsid w:val="008A05D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3">
    <w:name w:val="xl113"/>
    <w:basedOn w:val="Normal"/>
    <w:rsid w:val="008A05D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70303737">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75439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28</Pages>
  <Words>7365</Words>
  <Characters>41983</Characters>
  <Application>Microsoft Office Word</Application>
  <DocSecurity>0</DocSecurity>
  <Lines>349</Lines>
  <Paragraphs>98</Paragraphs>
  <ScaleCrop>false</ScaleCrop>
  <Company/>
  <LinksUpToDate>false</LinksUpToDate>
  <CharactersWithSpaces>49250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2012-10-16T04:59:00Z</dcterms:modified>
</cp:coreProperties>
</file>